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FB" w:rsidRPr="009647FB" w:rsidRDefault="009647FB" w:rsidP="0096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3607"/>
          <w:spacing w:val="15"/>
          <w:sz w:val="20"/>
          <w:szCs w:val="20"/>
          <w:lang w:eastAsia="ru-RU"/>
        </w:rPr>
      </w:pPr>
      <w:r w:rsidRPr="009647FB">
        <w:rPr>
          <w:rFonts w:ascii="Arial" w:eastAsia="Times New Roman" w:hAnsi="Arial" w:cs="Arial"/>
          <w:color w:val="463607"/>
          <w:spacing w:val="15"/>
          <w:sz w:val="20"/>
          <w:szCs w:val="20"/>
          <w:lang w:eastAsia="ru-RU"/>
        </w:rPr>
        <w:t>Описание профессий и специальностей</w:t>
      </w:r>
    </w:p>
    <w:p w:rsidR="009647FB" w:rsidRPr="009647FB" w:rsidRDefault="009647FB" w:rsidP="009647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</w:pPr>
      <w:r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t>38.02.04</w:t>
      </w:r>
      <w:r w:rsidRPr="009647FB"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t xml:space="preserve"> Коммерция (по отраслям)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80"/>
      </w:tblGrid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Квалификация выпускника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Менеджер по продажам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Среднее профессиональное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Очная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2 года 10 месяцев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Принимаются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Юноши и девушки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Характеристика труда: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Организация и управление торгово-сбытовой деятельностью, организация и проведение экономической и маркетинговой деятельности, управление ассортиментом, оценка качества и обеспечение 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сохраняемости</w:t>
            </w:r>
            <w:proofErr w:type="spell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товаров. Может выполнять функции менеджера по продажам, менеджера по туризму, менеджера по рекламе и PR, менеджера по сбыту, менеджера по закупкам, товароведа.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Профессионально-значимые качества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Самообладание, коммуникабельность, организаторские качества, хорошая память, умение анализировать информацию, развитая интуиция, социальная пластичность, высокий уровень логического мышления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Медицинские ограничения: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Заболевания 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сердечнососудистой</w:t>
            </w:r>
            <w:proofErr w:type="spell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системы, опорно-двигательного аппарата, нервно-психическими заболеваниями, </w:t>
            </w: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имеющим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выраженные дефекты зрения и слуха, физические недостатки.</w:t>
            </w:r>
          </w:p>
        </w:tc>
      </w:tr>
    </w:tbl>
    <w:p w:rsidR="009647FB" w:rsidRPr="009647FB" w:rsidRDefault="009647FB" w:rsidP="00964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3607"/>
          <w:spacing w:val="1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63607"/>
          <w:spacing w:val="15"/>
          <w:sz w:val="20"/>
          <w:szCs w:val="20"/>
          <w:lang w:eastAsia="ru-RU"/>
        </w:rPr>
        <w:t>43.02.01.</w:t>
      </w:r>
      <w:r w:rsidRPr="009647FB">
        <w:rPr>
          <w:rFonts w:ascii="Arial" w:eastAsia="Times New Roman" w:hAnsi="Arial" w:cs="Arial"/>
          <w:color w:val="463607"/>
          <w:spacing w:val="15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63607"/>
          <w:spacing w:val="15"/>
          <w:sz w:val="24"/>
          <w:szCs w:val="20"/>
          <w:lang w:eastAsia="ru-RU"/>
        </w:rPr>
        <w:t xml:space="preserve">Поварское и кондитерское </w:t>
      </w:r>
      <w:r w:rsidR="00464230">
        <w:rPr>
          <w:rFonts w:ascii="Arial" w:eastAsia="Times New Roman" w:hAnsi="Arial" w:cs="Arial"/>
          <w:b/>
          <w:color w:val="463607"/>
          <w:spacing w:val="15"/>
          <w:sz w:val="24"/>
          <w:szCs w:val="20"/>
          <w:lang w:eastAsia="ru-RU"/>
        </w:rPr>
        <w:t>дело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80"/>
      </w:tblGrid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Квалификация выпускника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Среднее профессиональное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Очная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Принимаются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Юноши и девушки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Характеристика труда: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Организует процесс приготовления продуктов общественного питания. В соответствии с товароведной характеристикой определяет качество сырья, рассчитывает его количество для получения порций готовых продуктов. Определяет калорийность суточного рациона, составляет меню и прейскуранты. Распределяет обязанности в бригаде поваров. Контролирует процесс приготовления широкого ассортимента кулинарной продукции, разрабатывает рецепты новых фирменных блюд и составляет на них технологические карты (описания приготовления блюд и их состав). Оформляет на них необходимую документацию, инструктирует поваров. Ведет полный учет материальных ценностей, оборудования, сырья, готовой продукции. Возможна посменно-бригадная организация труда.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Профессионально-значимые качества: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зрительная, обонятельная и вкусовая чувствительность; склонность к анализу и прогнозу; наглядно-действенное мышление; образная память; творческие способности; эстетический вкус; аккуратность; чистота рук, одежды, рабочего места; требовательность; коммуникабельность.</w:t>
            </w:r>
            <w:proofErr w:type="gramEnd"/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Медицинские ограничения: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инфекционные заболевания; нарушение функций опорно-двигательного аппарата; психические заболевания; 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lastRenderedPageBreak/>
              <w:t xml:space="preserve">гастрит, язва желудка и 12-перстлой кишки; болезни, связанные с потерей сознания; 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варикоз</w:t>
            </w:r>
            <w:proofErr w:type="spell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вен.</w:t>
            </w:r>
          </w:p>
        </w:tc>
      </w:tr>
    </w:tbl>
    <w:p w:rsidR="00464230" w:rsidRDefault="00464230" w:rsidP="009647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</w:pPr>
      <w:r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lastRenderedPageBreak/>
        <w:t>38.02.05 Товароведение и экспертиза качества потребительских товаров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80"/>
      </w:tblGrid>
      <w:tr w:rsidR="00464230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Квалификация выпускника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Товаровед - эксперт</w:t>
            </w:r>
          </w:p>
        </w:tc>
      </w:tr>
      <w:tr w:rsidR="00464230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Среднее профессиональное</w:t>
            </w:r>
          </w:p>
        </w:tc>
      </w:tr>
      <w:tr w:rsidR="00464230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Очная</w:t>
            </w:r>
          </w:p>
        </w:tc>
      </w:tr>
      <w:tr w:rsidR="00464230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2 года 10 месяцев</w:t>
            </w:r>
          </w:p>
        </w:tc>
      </w:tr>
      <w:tr w:rsidR="00464230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Принимаются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Юноши и девушки</w:t>
            </w:r>
          </w:p>
        </w:tc>
      </w:tr>
      <w:tr w:rsidR="00464230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4230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Характеристика труда:</w:t>
            </w:r>
          </w:p>
          <w:p w:rsidR="00464230" w:rsidRPr="00464230" w:rsidRDefault="00464230" w:rsidP="00464230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464230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Товароведы-эксперты представляют интересы обеих сторон – реализующей и покупающей.</w:t>
            </w:r>
          </w:p>
          <w:p w:rsidR="00464230" w:rsidRPr="009647FB" w:rsidRDefault="00464230" w:rsidP="00464230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464230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Товаровед-эксперт – специалист, который отвечает за приемку товара, его размещение и соответствие нормам. Товаровед-эксперт занимается формированием ассортимента, закупками товара и донесением информации о нём покупателям.</w:t>
            </w: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У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правление ассортиментом, оценка качества и обеспечение 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сохраняемости</w:t>
            </w:r>
            <w:proofErr w:type="spell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товаров. Может выполнять функции</w:t>
            </w: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менеджер</w:t>
            </w:r>
            <w:r w:rsidR="003B26D1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по закупкам; </w:t>
            </w:r>
            <w:r w:rsidRPr="00464230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специ</w:t>
            </w: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алист по работе с поставщиками; </w:t>
            </w:r>
            <w:r w:rsidRPr="00464230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маркетолог</w:t>
            </w:r>
            <w:proofErr w:type="gramStart"/>
            <w:r w:rsidRPr="00464230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;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.</w:t>
            </w:r>
            <w:proofErr w:type="gramEnd"/>
          </w:p>
          <w:p w:rsidR="00464230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Профессионально-значимые качества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:</w:t>
            </w:r>
          </w:p>
          <w:p w:rsidR="00464230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Самообладание, коммуникабельность, организаторские качества, хорошая память, умение анализировать информацию, развитая интуиция, социальная пластичность, высокий уровень логического мышления</w:t>
            </w:r>
          </w:p>
          <w:p w:rsidR="00464230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Медицинские ограничения:</w:t>
            </w:r>
          </w:p>
          <w:p w:rsidR="009647FB" w:rsidRPr="009647FB" w:rsidRDefault="00464230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Заболевания 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сердечнососудистой</w:t>
            </w:r>
            <w:proofErr w:type="spell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системы, опорно-двигательного аппарата, нервно-психическими заболеваниями, </w:t>
            </w: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имеющим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выраженные дефекты зрения и слуха,</w:t>
            </w:r>
            <w:r w:rsidR="0007267F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заболевания дыхательных путей,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физические недостатки.</w:t>
            </w:r>
          </w:p>
        </w:tc>
      </w:tr>
    </w:tbl>
    <w:p w:rsidR="00464230" w:rsidRDefault="00464230" w:rsidP="009647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</w:pPr>
    </w:p>
    <w:p w:rsidR="0007267F" w:rsidRDefault="0007267F" w:rsidP="000726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</w:pPr>
      <w:r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t>43.02.14 Гостиничное дело</w:t>
      </w:r>
      <w:r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t xml:space="preserve"> 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80"/>
      </w:tblGrid>
      <w:tr w:rsidR="0007267F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Квалификация выпускника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07267F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Менеджер</w:t>
            </w:r>
          </w:p>
        </w:tc>
      </w:tr>
      <w:tr w:rsidR="0007267F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Среднее профессиональное</w:t>
            </w:r>
          </w:p>
        </w:tc>
      </w:tr>
      <w:tr w:rsidR="0007267F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Очная</w:t>
            </w:r>
          </w:p>
        </w:tc>
      </w:tr>
      <w:tr w:rsidR="0007267F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2 года 10 месяцев</w:t>
            </w:r>
          </w:p>
        </w:tc>
      </w:tr>
      <w:tr w:rsidR="0007267F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Принимаются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Юноши и девушки</w:t>
            </w:r>
          </w:p>
        </w:tc>
      </w:tr>
      <w:tr w:rsidR="0007267F" w:rsidRPr="009647FB" w:rsidTr="00476DDE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267F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Характеристика труда:</w:t>
            </w:r>
          </w:p>
          <w:p w:rsidR="0007267F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«Гостиничное дело,</w:t>
            </w:r>
            <w:r>
              <w:t xml:space="preserve"> является одной </w:t>
            </w:r>
            <w:r w:rsidRPr="0007267F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из перспективных </w:t>
            </w: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и востребованных </w:t>
            </w:r>
            <w:r w:rsidRPr="0007267F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специальностей</w:t>
            </w: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на сегодняшний день.</w:t>
            </w:r>
            <w:r w:rsidRPr="0007267F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Главной задачей индустрии гостеприимства, которая работает на благо людей, является удовлетворение запросов и потребностей клиентов. Быть гостеприимным - значит уметь предложить теплый прием посетителям, создать для них спокойную, благоприятную и дружелюбную обстановку.</w:t>
            </w:r>
          </w:p>
          <w:p w:rsidR="0007267F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Профессионально-значимые качества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:</w:t>
            </w:r>
          </w:p>
          <w:p w:rsidR="0007267F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Самообладание, коммуникабельность, организаторские качества, хорошая память, </w:t>
            </w:r>
            <w:r w:rsidR="003B26D1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артистизм, 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умение анализировать информацию, развитая интуиция, социальная пластичность, высокий уровень логического мышления</w:t>
            </w:r>
            <w:proofErr w:type="gramEnd"/>
          </w:p>
          <w:p w:rsidR="0007267F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Медицинские ограничения:</w:t>
            </w:r>
          </w:p>
          <w:p w:rsidR="009647FB" w:rsidRPr="009647FB" w:rsidRDefault="0007267F" w:rsidP="00476DDE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Заболевания 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сердечнососудистой</w:t>
            </w:r>
            <w:proofErr w:type="spell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системы, опорно-двигательного аппарата, нервно-психическими 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lastRenderedPageBreak/>
              <w:t xml:space="preserve">заболеваниями, </w:t>
            </w: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имеющим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выраженные дефекты зрения и слуха,</w:t>
            </w: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заболевания дыхательных путей,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физические недостатки.</w:t>
            </w:r>
          </w:p>
        </w:tc>
      </w:tr>
    </w:tbl>
    <w:p w:rsidR="00464230" w:rsidRDefault="00464230" w:rsidP="009647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</w:pPr>
    </w:p>
    <w:p w:rsidR="00464230" w:rsidRDefault="00464230" w:rsidP="009647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</w:pPr>
    </w:p>
    <w:p w:rsidR="009647FB" w:rsidRPr="009647FB" w:rsidRDefault="00464230" w:rsidP="009647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</w:pPr>
      <w:r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t xml:space="preserve">43.01.09 </w:t>
      </w:r>
      <w:r w:rsidR="009647FB" w:rsidRPr="009647FB"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t>Повар, кондитер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80"/>
      </w:tblGrid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Квалификация выпускника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Повар – 4 разряда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Кондитер – 3-4 разряда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Начальное профессиональное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Очная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3B26D1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3</w:t>
            </w:r>
            <w:r w:rsidR="009647FB"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года 10 месяцев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Принимаются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Юноши и девушки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Характеристика труда: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Приготовление блюд и кулинарных изделий от простой кулинарной обработки до требующих сложной кулинарной обработки: первичная обработка продуктов, приготовление первых, горячих, холодных блюд из овощей, круп, мяса, с/х птицы, дичи, рыбы, яиц, творога, плодов, фруктов и ягод используя разные способы тепловой обработки.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Оформления блюд для банкетов.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Изготовление изделий из дрожжевого, слоеного, песочного, бисквитного, заварного, пресного, воздушного и других видов теста. Приготовление сиропов, кремов, помадок. Ведение процессов изготовления пирожных, кексов, тортов, рулетов, печенья. Изготовление деталей рисунка, украшений для кондитерских изделий из шоколада, крема, мастик, безе.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Профессионально-значимые качества: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Необходимы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тонкое цветоразличение, хорошая зрительно-двигательная координация (на уровне движений рук). Должен быть физически выносливым, иметь </w:t>
            </w: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хорошие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долговременную память, объемный и линейный глазомер, умением концентрировать внимание. Ему нужны тонкое чувство времени, высокая чувствительность к оттенкам запаха и вкуса, воспроизводящее воображение (способность глядя на рецепт, представить внешний вид и вкус блюда), ответственность, честность.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Медицинские ограничения: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заболевания: органов дыхания (бронхиальная астма, туберкулез и др.); сердечно-сосудистой системы (гипертония, порок сердца и т.п.); органов пищеварения (хронический гастрит, язвенная болезнь, сахарный диабет и др.); почек и мочевых путей (нефрит, почечная недостаточность и др.); опорно-двигательного аппарата (хронический ревматизм, деформации позвоночника и грудной клетки и др.); нервной системы (менингит, опухоли нервной системы и др.);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болезни кожи с локализацией на кистях рук (экзема и др.); 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</w:p>
        </w:tc>
      </w:tr>
    </w:tbl>
    <w:p w:rsidR="009647FB" w:rsidRPr="009647FB" w:rsidRDefault="00464230" w:rsidP="009647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</w:pPr>
      <w:r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t>38.01.02</w:t>
      </w:r>
      <w:r w:rsidR="009647FB" w:rsidRPr="009647FB"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t xml:space="preserve"> Продавец, контролер-кассир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80"/>
      </w:tblGrid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Квалификация выпускника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Продавец продовольственных товаров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Продавец непродовольственных товаров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Контролер-кассир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Начальное профессиональное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Очное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2 года 5 месяцев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Принимаются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Юноши и девушки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lastRenderedPageBreak/>
              <w:t>Описание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Характеристика труда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Выступает в качестве посредника между производителями товаров (промышленных, продовольственных и других) и населением.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Рекламирует имеющийся товар, предлагает взаимозаменяемый товар, подсчитывает его стоимость, проверяет реквизиты чека, упаковывает товар, выдает покупку. Следит за своевременным пополнением запасов товаров, сроками их реализации. Оформляет гарантийные паспорта на товары</w:t>
            </w: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.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веряет наименование, количество, комплектность, сортность, цены, соответствие маркировки, ярлыки изготовителя, наличие пломб. Подсчитывает чеки (деньги), сдает их в установленном порядке и т.п. Может работать за кассовым аппаратом. Оформляет прилавочные витрины.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Профессионально-значимые качества: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Продавцу необходимы устойчивость внимания, хорошие долговременная и оперативная память, арифметические способности, глазомер, точное пространственное восприятие величины и формы предмета, четкая дикция. Он должен быть эмоционально устойчивым, наблюдательным, общительным, честным.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Медицинские ограничения: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Заболевания опорно-двигательного аппарата, 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хроническиме</w:t>
            </w:r>
            <w:proofErr w:type="spell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инфекционными заболеваниями, кожная аллергия, экзема кистей рук, эпилепсия, резко выраженные неврозы, снижение слуха на оба уха, являющимися 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бактерионосителями</w:t>
            </w:r>
            <w:proofErr w:type="spell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; болезни </w:t>
            </w: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сердечно-сосудистой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системы, если работа требует большого физического напряжения.</w:t>
            </w:r>
          </w:p>
        </w:tc>
      </w:tr>
    </w:tbl>
    <w:p w:rsidR="009647FB" w:rsidRPr="009647FB" w:rsidRDefault="00464230" w:rsidP="009647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</w:pPr>
      <w:r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t xml:space="preserve">43.02.01 </w:t>
      </w:r>
      <w:r w:rsidR="009647FB" w:rsidRPr="009647FB"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t>Организация обслуживания в общественном питании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80"/>
      </w:tblGrid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Квалификация выпускника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Официант – 4 разряда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Бармен – 4 разряда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Начальное профессиональное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Очная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3B26D1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3</w:t>
            </w:r>
            <w:bookmarkStart w:id="0" w:name="_GoBack"/>
            <w:bookmarkEnd w:id="0"/>
            <w:r w:rsidR="009647FB"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года 10 месяцев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Принимаются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Юноши и девушки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Бармен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Характеристика труда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Готовит напитки, варит кофе. Обслуживает посетителей бара, получает с них расчет. Следит за качеством продуктов. Несет материальную ответственность и оформляет документы на реализуемую продукцию.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Профессионально-значимые качества: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Наличие хорошей зрительно-двигательной координации, линейного глазомера, умения распределять внимание, способности к быстрому устному счету в условиях помех, хорошей оперативной памяти и способности к общению, необходимому специалистам сферы обслуживания (толерантность к многочисленным контактам, навыки делового общения, конструктивное восприятие критики в свой адрес).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Медицинские ограничения: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Заболевания органов дыхания (туберкулез, хроническая пневмония и др.); сердечно-сосудистой системы (гипертония, пороки сердца и др.); опорно-двигательного аппарата (деформации позвоночника, хронический ревматизм и др.); нервной системы (обмороки, неврозы и др.); кожи с локализацией на кистях рук (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дермиты</w:t>
            </w:r>
            <w:proofErr w:type="spell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, экзема 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lastRenderedPageBreak/>
              <w:t>и др.); органов слуха (пониженный слух).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 </w:t>
            </w: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br/>
            </w: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Официант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.</w:t>
            </w: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 Характеристика труда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Обслуживает посетителей в ресторанах, кафе. Выполняет заказы посетителей и получает расчет за услуги. Убирает после ухода посетителей столы и заново сервирует их. Несет материальную ответственность за сохранность посуды и выручку.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Профессионально-значимые качества: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Физическая выносливость, хорошая координация движений (на уровне всего тела), развитая зрительная память, способность к распределению внимания и арифметические способности.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Медицинские ограничения: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Работа не рекомендуется людям с заболеваниями: органов дыхания (бронхиальная астма, хронический бронхит и др.); сердечно-сосудистой системы (гипертония, сердечная недостаточность и др.); органов пищеварения (язвенная болезнь, сахарный диабет и др.); опорно-двигательного аппарата (хронический ревматизм, деформации позвоночника и др.); нервной системы (неврозы, навязчивые состояния и др.); органов зрения (миопия высокой степени); органов слуха (вызывающие стойкое понижение остроты слуха);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кожи с локализацией на кистях рук (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дермиты</w:t>
            </w:r>
            <w:proofErr w:type="spell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и др.).</w:t>
            </w:r>
          </w:p>
        </w:tc>
      </w:tr>
    </w:tbl>
    <w:p w:rsidR="009647FB" w:rsidRPr="009647FB" w:rsidRDefault="00464230" w:rsidP="009647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</w:pPr>
      <w:r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lastRenderedPageBreak/>
        <w:t xml:space="preserve">26.01.12 </w:t>
      </w:r>
      <w:r w:rsidR="009647FB" w:rsidRPr="009647FB">
        <w:rPr>
          <w:rFonts w:ascii="Arial" w:eastAsia="Times New Roman" w:hAnsi="Arial" w:cs="Arial"/>
          <w:b/>
          <w:color w:val="463607"/>
          <w:spacing w:val="15"/>
          <w:szCs w:val="20"/>
          <w:lang w:eastAsia="ru-RU"/>
        </w:rPr>
        <w:t xml:space="preserve"> Электрик судовой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80"/>
      </w:tblGrid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Квалификация выпускника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Электрик судовой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Начальное профессиональное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Очная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464230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2 года 10</w:t>
            </w:r>
            <w:r w:rsidR="009647FB"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месяцев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Принимаются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Юноши</w:t>
            </w:r>
          </w:p>
        </w:tc>
      </w:tr>
      <w:tr w:rsidR="009647FB" w:rsidRPr="009647FB" w:rsidTr="009647FB">
        <w:tc>
          <w:tcPr>
            <w:tcW w:w="31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64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Характеристика труда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Под руководством электромеханика (механика) выполняет комплекс работ, связанных с подготовкой к работе, пуском в ход, эксплуатацией, остановкой и контролем судового электрооборудования. Ремонт, регулирование, проведение монтажа и демонтажа электрооборудования, обнаружение неисправности и устранение их.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Управление всеми техническими средствами судового электрооборудования, проведение простейших испытаний электроустановок и приемка выполненных работ, подготовка электрооборудования к консервации при постановке судна в ремонт.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Проведение слесарных работ при ремонте электрооборудования, обслуживание и содержание в исправном состоянии станций сигнальных огней, прожекторов, переносных люстр и ламп.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Монтирование и присоединение сети к распределительным щитам, Применение новейших методов эксплуатации </w:t>
            </w:r>
            <w:proofErr w:type="spell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электроустройств</w:t>
            </w:r>
            <w:proofErr w:type="spell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судна</w:t>
            </w: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.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п</w:t>
            </w:r>
            <w:proofErr w:type="gramEnd"/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ользоваться спасательными средствами. Пользование всеми судовыми средствами пожаротушения, ведение эксплуатационной технической документации по электрооборудованию судна в пределах заведования.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Профессионально-значимые качества: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• точность зрительно-двигательной координации;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• техническое мышление;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• хорошая образная память;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lastRenderedPageBreak/>
              <w:t>• эмоциональная устойчивость;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• хорошо развитый вестибулярный аппарат (в связи с работами на высоте).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b/>
                <w:bCs/>
                <w:color w:val="463607"/>
                <w:spacing w:val="15"/>
                <w:sz w:val="20"/>
                <w:szCs w:val="20"/>
                <w:lang w:eastAsia="ru-RU"/>
              </w:rPr>
              <w:t>Медицинские противопоказания: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• нарушение функций опорно-двигательного аппарата, зрения, слуха;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• заболевания нервной системы;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• болезни, сопровождающиеся потерей сознания;</w:t>
            </w:r>
          </w:p>
          <w:p w:rsidR="009647FB" w:rsidRPr="009647FB" w:rsidRDefault="009647FB" w:rsidP="009647FB">
            <w:pPr>
              <w:spacing w:after="0" w:line="240" w:lineRule="auto"/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</w:pPr>
            <w:r w:rsidRPr="009647FB">
              <w:rPr>
                <w:rFonts w:ascii="Arial" w:eastAsia="Times New Roman" w:hAnsi="Arial" w:cs="Arial"/>
                <w:color w:val="463607"/>
                <w:spacing w:val="15"/>
                <w:sz w:val="20"/>
                <w:szCs w:val="20"/>
                <w:lang w:eastAsia="ru-RU"/>
              </w:rPr>
              <w:t>• эпилепсия.</w:t>
            </w:r>
          </w:p>
        </w:tc>
      </w:tr>
    </w:tbl>
    <w:p w:rsidR="002D1C9B" w:rsidRDefault="003B26D1"/>
    <w:sectPr w:rsidR="002D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FB"/>
    <w:rsid w:val="0007267F"/>
    <w:rsid w:val="0027498E"/>
    <w:rsid w:val="003B26D1"/>
    <w:rsid w:val="00464230"/>
    <w:rsid w:val="009647FB"/>
    <w:rsid w:val="00D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1</cp:revision>
  <dcterms:created xsi:type="dcterms:W3CDTF">2019-04-23T07:54:00Z</dcterms:created>
  <dcterms:modified xsi:type="dcterms:W3CDTF">2019-04-23T08:53:00Z</dcterms:modified>
</cp:coreProperties>
</file>